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t xml:space="preserve"/>
      </w:r>
    </w:p>
    <w:p>
      <w:pPr>
        <w:pStyle w:val="Title"/>
        <w:spacing w:after="200"/>
        <w:jc w:val="center"/>
      </w:pPr>
      <w:r>
        <w:rPr>
          <w:b/>
          <w:bCs/>
          <w:color w:val="000000"/>
          <w:sz w:val="56"/>
          <w:szCs w:val="56"/>
        </w:rPr>
        <w:t>Rapport Sentiaudit LAN et WAN</w:t>
      </w:r>
    </w:p>
    <w:p>
      <w:pPr>
        <w:spacing w:after="60"/>
        <w:jc w:val="center"/>
      </w:pPr>
      <w:r>
        <w:rPr>
          <w:color w:val="595959"/>
          <w:sz w:val="28"/>
          <w:szCs w:val="28"/>
        </w:rPr>
        <w:t xml:space="preserve">Audit de l’infrastructure réseau</w:t>
      </w:r>
    </w:p>
    <w:p>
      <w:pPr>
        <w:spacing w:after="800"/>
        <w:jc w:val="center"/>
      </w:pPr>
      <w:r>
        <w:rPr>
          <w:b/>
          <w:bCs/>
          <w:sz w:val="36"/>
          <w:szCs w:val="36"/>
        </w:rPr>
        <w:t>ENTREPRISE EXEMPLE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cantSplit w:val="false"/>
          <w:tblHeader/>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color w:val="000000"/>
                <w:sz w:val="16"/>
                <w:szCs w:val="16"/>
              </w:rPr>
              <w:t xml:space="preserve">Adresse</w:t>
            </w:r>
          </w:p>
        </w:tc>
        <w:tc>
          <w:tcPr>
            <w:tcW w:type="dxa" w:w="636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color w:val="000000"/>
                <w:sz w:val="16"/>
                <w:szCs w:val="16"/>
              </w:rPr>
              <w:t xml:space="preserve">[Adresse du site anonymisee]</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Référence interne</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REF-EXEMPLE-001</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Technicien</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Technicien du partenaire</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Date intervention</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Jour J</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Référence audit</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AUDIT001</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IP publique site</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[IP publique anonymisée] (Opérateur fixe anonymisé / FR)</w:t>
            </w:r>
          </w:p>
        </w:tc>
      </w:tr>
    </w:tbl>
    <w:p>
      <w:r>
        <w:t>Exemple anonymisé établi à partir d'un audit réel. L'identité et le secteur du client, les intervenants, les fournisseurs, les équipements spécifiques et les identifiants ont été neutralisés. Les valeurs de mesure ont été adaptées et la géographie radio remplacée par un scénario fictif cohérent. Les catégories d'analyse, les constats, les limites et la structure du rapport sont conservés. Ce document illustre le livrable Sentiaudit ; il ne décrit pas un site identifiable.</w:t>
      </w:r>
    </w:p>
    <w:p>
      <w:pPr>
        <w:spacing w:before="220"/>
        <w:jc w:val="center"/>
      </w:pPr>
      <w:r>
        <w:t>[Visuel du site retiré]</w:t>
      </w:r>
    </w:p>
    <w:p>
      <w:pPr>
        <w:spacing w:after="80"/>
        <w:jc w:val="center"/>
      </w:pPr>
      <w:r>
        <w:rPr>
          <w:color w:val="595959"/>
          <w:sz w:val="16"/>
          <w:szCs w:val="16"/>
        </w:rPr>
        <w:t xml:space="preserve">Localisation du site</w:t>
      </w:r>
    </w:p>
    <w:p>
      <w:r>
        <w:br w:type="page"/>
      </w:r>
    </w:p>
    <w:p>
      <w:pPr>
        <w:pStyle w:val="Heading1"/>
        <w:spacing w:after="160"/>
      </w:pPr>
      <w:r>
        <w:t>Sommaire</w:t>
      </w:r>
    </w:p>
    <w:p>
      <w:pPr>
        <w:spacing w:after="160"/>
      </w:pPr>
      <w:r>
        <w:t>1. Synthèse exécutive</w:t>
      </w:r>
    </w:p>
    <w:p>
      <w:pPr>
        <w:spacing w:after="160"/>
      </w:pPr>
      <w:r>
        <w:t>2. Périmètre audité</w:t>
      </w:r>
    </w:p>
    <w:p>
      <w:pPr>
        <w:spacing w:after="160"/>
      </w:pPr>
      <w:r>
        <w:t>3. Inventaire réseau (source : scan nmap)</w:t>
      </w:r>
    </w:p>
    <w:p>
      <w:pPr>
        <w:spacing w:after="160"/>
      </w:pPr>
      <w:r>
        <w:t>4. Équipements d’infrastructure (détail par type)</w:t>
      </w:r>
    </w:p>
    <w:p>
      <w:pPr>
        <w:spacing w:after="160"/>
      </w:pPr>
      <w:r>
        <w:t>5. Équipements documentés sur site</w:t>
      </w:r>
    </w:p>
    <w:p>
      <w:pPr>
        <w:spacing w:after="160"/>
      </w:pPr>
      <w:r>
        <w:t>6. Postes informatiques audités</w:t>
      </w:r>
    </w:p>
    <w:p>
      <w:pPr>
        <w:spacing w:after="160"/>
      </w:pPr>
      <w:r>
        <w:t>7. Mesures réseau</w:t>
      </w:r>
    </w:p>
    <w:p>
      <w:pPr>
        <w:spacing w:after="160"/>
      </w:pPr>
      <w:r>
        <w:t>8. Exposition internet (scan IP publique)</w:t>
      </w:r>
    </w:p>
    <w:p>
      <w:pPr>
        <w:spacing w:after="160"/>
      </w:pPr>
      <w:r>
        <w:t>9. Mesures de signal 4G</w:t>
      </w:r>
    </w:p>
    <w:p>
      <w:pPr>
        <w:spacing w:after="160"/>
      </w:pPr>
      <w:r>
        <w:t>10. Préparation à la migration opérateur</w:t>
      </w:r>
    </w:p>
    <w:p>
      <w:pPr>
        <w:spacing w:after="160"/>
      </w:pPr>
      <w:r>
        <w:t>11. Photographies complémentaires</w:t>
      </w:r>
    </w:p>
    <w:p>
      <w:pPr>
        <w:spacing w:after="160"/>
      </w:pPr>
      <w:r>
        <w:t>12. Confidentialité</w:t>
      </w:r>
    </w:p>
    <w:sdt>
      <w:sdtPr>
        <w:alias w:val="Sommaire"/>
      </w:sdtPr>
      <w:sdtContent>
        <w:p>
          <w:r>
            <w:fldChar w:fldCharType="begin" w:dirty="true"/>
            <w:instrText xml:space="preserve">TOC \h \o "1-2"</w:instrText>
            <w:fldChar w:fldCharType="separate"/>
          </w:r>
        </w:p>
        <w:p>
          <w:r>
            <w:fldChar w:fldCharType="end"/>
          </w:r>
        </w:p>
      </w:sdtContent>
    </w:sdt>
    <w:p>
      <w:r>
        <w:br w:type="page"/>
      </w:r>
    </w:p>
    <w:p>
      <w:pPr>
        <w:pStyle w:val="Heading1"/>
        <w:spacing w:after="160"/>
      </w:pPr>
      <w:r>
        <w:t xml:space="preserve">1. Synthèse exécutive</w:t>
      </w:r>
    </w:p>
    <w:p>
      <w:pPr>
        <w:pStyle w:val="Heading2"/>
        <w:spacing w:after="120"/>
      </w:pPr>
      <w:r>
        <w:t xml:space="preserve">Faits cles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val="false"/>
          <w:tblHeader/>
        </w:trPr>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Indicateur</w:t>
            </w:r>
          </w:p>
        </w:tc>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Resultat</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Hôtes réseau détectés (scan nmap)</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57 (57/57 avec MAC)</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Équipements documentés (photos+SN)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73</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Postes PC scannes (scripts collectes)</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17 (16/17 matches réseau)</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Photos batiment</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122</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Debit lien WAN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 / 19 ↑ Mbps</w:t>
            </w:r>
          </w:p>
        </w:tc>
      </w:tr>
      <w:tr>
        <w:trPr>
          <w:cantSplit/>
          <w:tblHeader w:val="false"/>
        </w:trPr>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FAI</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Opérateur fixe anonymisé</w:t>
            </w:r>
          </w:p>
        </w:tc>
      </w:tr>
    </w:tbl>
    <w:p>
      <w:pPr>
        <w:pStyle w:val="Heading2"/>
        <w:spacing w:after="120"/>
      </w:pPr>
      <w:r>
        <w:t xml:space="preserve">Faits saillants</w:t>
      </w:r>
    </w:p>
    <w:p>
      <w:pPr>
        <w:spacing w:after="80"/>
      </w:pPr>
      <w:r>
        <w:t xml:space="preserve">Le scan réseau a permis de compléter l’inventaire au-delà des équipements documentés sur site. Principaux éléments d’infrastructure détectés :</w:t>
      </w:r>
    </w:p>
    <w:p>
      <w:pPr>
        <w:pStyle w:val="ListParagraph"/>
        <w:numPr>
          <w:ilvl w:val="0"/>
          <w:numId w:val="2"/>
        </w:numPr>
        <w:spacing w:after="40"/>
      </w:pPr>
      <w:r>
        <w:t>Caméra IP : 18 (10.77.30.53, 10.77.30.55, 10.77.30.60, 10.77.30.62, 10.77.30.63, 10.77.30.64, …)</w:t>
      </w:r>
    </w:p>
    <w:p>
      <w:pPr>
        <w:pStyle w:val="ListParagraph"/>
        <w:numPr>
          <w:ilvl w:val="0"/>
          <w:numId w:val="2"/>
        </w:numPr>
        <w:spacing w:after="40"/>
      </w:pPr>
      <w:r>
        <w:t>Hôte non identifié : 8 (10.77.30.56, 10.77.30.57, 10.77.30.77, 10.77.30.22, 10.77.30.25, 10.77.30.28, …)</w:t>
      </w:r>
    </w:p>
    <w:p>
      <w:pPr>
        <w:pStyle w:val="ListParagraph"/>
        <w:numPr>
          <w:ilvl w:val="0"/>
          <w:numId w:val="2"/>
        </w:numPr>
        <w:spacing w:after="40"/>
      </w:pPr>
      <w:r>
        <w:t>Serveur : 4 (10.77.30.74, 10.77.30.75, 10.77.30.24, 10.77.30.38)</w:t>
      </w:r>
    </w:p>
    <w:p>
      <w:pPr>
        <w:pStyle w:val="ListParagraph"/>
        <w:numPr>
          <w:ilvl w:val="0"/>
          <w:numId w:val="2"/>
        </w:numPr>
        <w:spacing w:after="40"/>
      </w:pPr>
      <w:r>
        <w:t>NAS / stockage : 3 (10.77.30.58, 10.77.30.59, 10.77.30.76)</w:t>
      </w:r>
    </w:p>
    <w:p>
      <w:pPr>
        <w:pStyle w:val="ListParagraph"/>
        <w:numPr>
          <w:ilvl w:val="0"/>
          <w:numId w:val="2"/>
        </w:numPr>
        <w:spacing w:after="40"/>
      </w:pPr>
      <w:r>
        <w:t>Équipement réseau : 3 (10.77.30.254, 10.77.30.26, 10.77.30.31)</w:t>
      </w:r>
    </w:p>
    <w:p>
      <w:pPr>
        <w:pStyle w:val="ListParagraph"/>
        <w:numPr>
          <w:ilvl w:val="0"/>
          <w:numId w:val="2"/>
        </w:numPr>
        <w:spacing w:after="40"/>
      </w:pPr>
      <w:r>
        <w:t>Téléphone IP : 3 (10.77.30.27, 10.77.30.37, 10.77.30.44)</w:t>
      </w:r>
    </w:p>
    <w:p>
      <w:pPr>
        <w:pStyle w:val="ListParagraph"/>
        <w:numPr>
          <w:ilvl w:val="0"/>
          <w:numId w:val="2"/>
        </w:numPr>
        <w:spacing w:after="40"/>
      </w:pPr>
      <w:r>
        <w:t>Imprimante : 2 (10.77.30.52, 10.77.30.61)</w:t>
      </w:r>
    </w:p>
    <w:p>
      <w:pPr>
        <w:pStyle w:val="ListParagraph"/>
        <w:numPr>
          <w:ilvl w:val="0"/>
          <w:numId w:val="2"/>
        </w:numPr>
        <w:spacing w:after="40"/>
      </w:pPr>
      <w:r>
        <w:t>Point d’accès WiFi : 1 (10.77.30.23)</w:t>
      </w:r>
    </w:p>
    <w:p>
      <w:pPr>
        <w:pStyle w:val="ListParagraph"/>
        <w:numPr>
          <w:ilvl w:val="0"/>
          <w:numId w:val="2"/>
        </w:numPr>
        <w:spacing w:after="40"/>
      </w:pPr>
      <w:r>
        <w:t xml:space="preserve">5 poste(s) saisi(s) sur site et recoupé(s) automatiquement avec les scripts d’inventaire (dédoublonnage par numéro de série).</w:t>
      </w:r>
    </w:p>
    <w:p>
      <w:r>
        <w:br w:type="page"/>
      </w:r>
    </w:p>
    <w:p>
      <w:pPr>
        <w:pStyle w:val="Heading1"/>
        <w:spacing w:after="160"/>
      </w:pPr>
      <w:r>
        <w:t xml:space="preserve">2. Périmètre audité</w:t>
      </w:r>
    </w:p>
    <w:p>
      <w:pPr>
        <w:spacing w:after="80"/>
      </w:pPr>
      <w:r>
        <w:t>L’audit a été réalisé sur site avec un boitier d’audit autonome connecte au réseau LAN du site. Une mesure de qualite de service a été effectuee depuis le LAN, complétée par un scan réseau nmap et la collecte de scripts d’inventaire sur les postes Windows.</w:t>
      </w:r>
    </w:p>
    <w:p>
      <w:pPr>
        <w:pStyle w:val="Heading2"/>
        <w:spacing w:after="120"/>
      </w:pPr>
      <w:r>
        <w:t xml:space="preserve">Acces internet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cantSplit w:val="false"/>
          <w:tblHeader/>
        </w:trPr>
        <w:tc>
          <w:tcPr>
            <w:tcW w:type="dxa" w:w="30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Element</w:t>
            </w:r>
          </w:p>
        </w:tc>
        <w:tc>
          <w:tcPr>
            <w:tcW w:type="dxa" w:w="6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FAI</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Opérateur fixe anonymisé</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IP publique site</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[IP publique anonymisée]</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Pays</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FR</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Débit mesuré (desc. / mont.)</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 19 Mbps</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Type de lien (déduit)</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Fibre / FTTx probable (lien symétrique ou faiblement asymétrique)</w:t>
            </w:r>
          </w:p>
        </w:tc>
      </w:tr>
    </w:tbl>
    <w:p>
      <w:pPr>
        <w:pStyle w:val="Heading2"/>
        <w:spacing w:after="120"/>
      </w:pPr>
      <w:r>
        <w:t xml:space="preserve">Architecture réseau observee</w:t>
      </w:r>
    </w:p>
    <w:p>
      <w:pPr>
        <w:spacing w:after="80"/>
      </w:pPr>
      <w:r>
        <w:rPr>
          <w:b/>
          <w:bCs/>
        </w:rPr>
        <w:t>Passerelle / routeur LAN : 10.77.30.254 (Constructeur 18) - ports 22/ssh, 443/https</w:t>
      </w:r>
      <w:r/>
    </w:p>
    <w:p>
      <w:pPr>
        <w:spacing w:after="80"/>
      </w:pPr>
      <w:r>
        <w:t xml:space="preserve">Autres équipements réseau actifs détectés :</w:t>
      </w:r>
    </w:p>
    <w:p>
      <w:pPr>
        <w:pStyle w:val="ListParagraph"/>
        <w:numPr>
          <w:ilvl w:val="0"/>
          <w:numId w:val="2"/>
        </w:numPr>
        <w:spacing w:after="40"/>
      </w:pPr>
      <w:r>
        <w:t>10.77.30.26 (Constructeur 06) - ports 22/ssh, 135/msrpc, 139/netbios-ssn, 445/microsoft-ds, 5357/wsdapi, 5900/vnc</w:t>
      </w:r>
    </w:p>
    <w:p>
      <w:pPr>
        <w:pStyle w:val="ListParagraph"/>
        <w:numPr>
          <w:ilvl w:val="0"/>
          <w:numId w:val="2"/>
        </w:numPr>
        <w:spacing w:after="40"/>
      </w:pPr>
      <w:r>
        <w:t>10.77.30.31 (Constructeur 06) - ports 22/ssh, 135/msrpc, 139/netbios-ssn, 445/microsoft-ds, 5357/wsdapi, 5900/vnc</w:t>
      </w:r>
    </w:p>
    <w:p>
      <w:pPr>
        <w:spacing w:after="80"/>
      </w:pPr>
      <w:r>
        <w:rPr>
          <w:color w:val="595959"/>
        </w:rPr>
        <w:t xml:space="preserve">Le routage interne (NAT, firewall, VLAN, mode bridge/routeur des équipements actifs) n’est pas déterminable depuis un scan réseau seul : un accès management aux équipements est nécessaire pour le qualifier.</w:t>
      </w:r>
    </w:p>
    <w:p>
      <w:pPr>
        <w:pStyle w:val="Heading3"/>
        <w:spacing w:after="100"/>
      </w:pPr>
      <w:r>
        <w:t xml:space="preserve">Schéma réseau</w:t>
      </w:r>
    </w:p>
    <w:p>
      <w:pPr>
        <w:spacing w:after="40" w:before="100"/>
        <w:jc w:val="center"/>
      </w:pPr>
      <w:r>
        <w:t>[Visuel du site retiré]</w:t>
      </w:r>
    </w:p>
    <w:p>
      <w:pPr>
        <w:spacing w:after="80"/>
        <w:jc w:val="center"/>
      </w:pPr>
      <w:r>
        <w:rPr>
          <w:color w:val="595959"/>
          <w:sz w:val="16"/>
          <w:szCs w:val="16"/>
        </w:rPr>
        <w:t>Topologie logique inférée : Internet, passerelle, commutation et terminaux. Le schéma réel et sa version PDF séparée sont exclus de cet exemple anonymisé. Le plan d'adressage de substitution reste cohérent entre inventaire et préparation de migration.</w:t>
      </w:r>
    </w:p>
    <w:p>
      <w:pPr>
        <w:pStyle w:val="Heading2"/>
        <w:spacing w:after="120"/>
      </w:pPr>
      <w:r>
        <w:t xml:space="preserve">Configuration DHCP estimée</w:t>
      </w:r>
    </w:p>
    <w:p>
      <w:pPr>
        <w:spacing w:after="80"/>
      </w:pPr>
      <w:r>
        <w:t xml:space="preserve">Le serveur DHCP est probablement assuré par la passerelle LAN. La liste des équipements en IP fixe ci-dessous est déduite des observations du scan ; ils correspondent vraisemblablement à des réservations DHCP statiques (à confirmer via la configuration de la passerelle/routeur).</w:t>
      </w:r>
    </w:p>
    <w:p>
      <w:pPr>
        <w:pStyle w:val="Heading3"/>
        <w:spacing w:after="100"/>
      </w:pPr>
      <w:r>
        <w:t xml:space="preserve">Réservations DHCP probables (IP fixes)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900"/>
        <w:gridCol w:w="2400"/>
        <w:gridCol w:w="2000"/>
        <w:gridCol w:w="1760"/>
      </w:tblGrid>
      <w:tr>
        <w:trPr>
          <w:cantSplit w:val="false"/>
          <w:tblHeader/>
        </w:trPr>
        <w:tc>
          <w:tcPr>
            <w:tcW w:type="dxa" w:w="13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24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20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Rôle déduit</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10.77.30.254</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02:00:00:00:00:10</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18</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Passerelle LAN</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10.77.30.22</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02:00:00:00:00:0f</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11</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Terminal de paiement</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10.77.30.23</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02:00:00:00:00:20</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Point d’accès WiFi</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10.77.30.24</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02:00:00:00:00:15</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26</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&lt;unknown&gt;</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 applicatif</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10.77.30.26</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02:00:00:00:00:12</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HOTE-01</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Équipement réseau</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10.77.30.27</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02:00:00:00:00:18</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10</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10.77.30.31</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02:00:00:00:00:11</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HOTE-02</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Équipement réseau</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10.77.30.37</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02:00:00:00:00:1e</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30</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10.77.30.38</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02:00:00:00:00:1a</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 applicatif</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10.77.30.39</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02:00:00:00:00:0c</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10.77.30.40</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02:00:00:00:00:0d</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10.77.30.41</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02:00:00:00:00:0e</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10.77.30.44</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02:00:00:00:00:13</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30</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10.77.30.52</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02:00:00:00:00:27</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HOTE-03</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10.77.30.53</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02:00:00:00:00:29</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10.77.30.55</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02:00:00:00:00:2a</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10.77.30.58</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02:00:00:00:00:03</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10.77.30.59</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02:00:00:00:00:02</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10.77.30.60</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02:00:00:00:00:33</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10.77.30.61</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02:00:00:00:00:26</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HOTE-04</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10.77.30.62</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02:00:00:00:00:34</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10.77.30.63</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02:00:00:00:00:0b</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10.77.30.64</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02:00:00:00:00:0a</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10.77.30.65</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02:00:00:00:00:28</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10.77.30.66</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02:00:00:00:00:2c</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10.77.30.67</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02:00:00:00:00:2b</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10.77.30.68</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02:00:00:00:00:31</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10.77.30.69</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02:00:00:00:00:32</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10.77.30.70</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02:00:00:00:00:30</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10.77.30.71</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02:00:00:00:00:2d</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10.77.30.72</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02:00:00:00:00:2e</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10.77.30.73</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02:00:00:00:00:2f</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10.77.30.74</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02:00:00:00:00:1b</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 applicatif</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10.77.30.75</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02:00:00:00:00:01</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29</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SRV-APP-01</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 applicatif</w:t>
            </w:r>
          </w:p>
        </w:tc>
      </w:tr>
      <w:tr>
        <w:trPr>
          <w:cantSplit/>
          <w:tblHeader w:val="false"/>
        </w:trPr>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10.77.30.76</w:t>
            </w:r>
          </w:p>
        </w:tc>
        <w:tc>
          <w:tcPr>
            <w:tcW w:type="dxa" w:w="1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02:00:00:00:00:21</w:t>
            </w:r>
          </w:p>
        </w:tc>
        <w:tc>
          <w:tcPr>
            <w:tcW w:type="dxa" w:w="2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2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NAS-SAUVEGARDE</w:t>
            </w:r>
          </w:p>
        </w:tc>
        <w:tc>
          <w:tcPr>
            <w:tcW w:type="dxa" w:w="17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r>
    </w:tbl>
    <w:p>
      <w:pPr>
        <w:spacing w:after="80"/>
      </w:pPr>
      <w:r>
        <w:t xml:space="preserve"/>
      </w:r>
    </w:p>
    <w:p>
      <w:pPr>
        <w:spacing w:after="80"/>
      </w:pPr>
      <w:r>
        <w:rPr>
          <w:color w:val="595959"/>
        </w:rPr>
        <w:t xml:space="preserve">35 équipements en IP fixe présumée. 22 autres hôtes vraisemblablement attribués via pool DHCP dynamique (postes utilisateurs et équipements mobiles).</w:t>
      </w:r>
    </w:p>
    <w:p>
      <w:r>
        <w:br w:type="page"/>
      </w:r>
    </w:p>
    <w:p>
      <w:pPr>
        <w:pStyle w:val="Heading1"/>
        <w:spacing w:after="160"/>
      </w:pPr>
      <w:r>
        <w:t xml:space="preserve">3. Inventaire réseau (source : scan nmap)</w:t>
      </w:r>
    </w:p>
    <w:p>
      <w:pPr>
        <w:spacing w:after="80"/>
      </w:pPr>
      <w:r>
        <w:t>57 hôtes détectés sur le LAN (plage 10.77.30.0/24). Cet inventaire constitue la source de référence pour le périmètre technique.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2100"/>
        <w:gridCol w:w="1700"/>
        <w:gridCol w:w="1700"/>
        <w:gridCol w:w="10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2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w:t>
            </w:r>
          </w:p>
        </w:tc>
        <w:tc>
          <w:tcPr>
            <w:tcW w:type="dxa" w:w="10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Type</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02:00:00:00:00:29</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02:00:00:00:00:2a</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02:00:00:00:00:33</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02:00:00:00:00:34</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02:00:00:00:00:0b</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02:00:00:00:00:0a</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02:00:00:00:00:28</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02:00:00:00:00:2c</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02:00:00:00:00:2b</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02:00:00:00:00:31</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02:00:00:00:00:32</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02:00:00:00:00:30</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02:00:00:00:00:2d</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02:00:00:00:00:2e</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02:00:00:00:00:2f</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02:00:00:00:00:0c</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02:00:00:00:00:0d</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02:00:00:00:00:0e</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camera-ip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02:00:00:00:00:03</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02:00:00:00:00:02</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02:00:00:00:00:21</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NAS-SAUVEGARDE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10.77.30.254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02:00:00:00:00:10</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network-equipment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02:00:00:00:00:12</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network-equipment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02:00:00:00:00:11</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network-equipment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02:00:00:00:00:35</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pc-linux</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02:00:00:00:00:24</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pc-linux</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02:00:00:00:00:36</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02:00:00:00:00:09</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02:00:00:00:00:08</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02:00:00:00:00:17</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02:00:00:00:00:07</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02:00:00:00:00:19</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02:00:00:00:00:1d</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02:00:00:00:00:05</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02:00:00:00:00:39</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02:00:00:00:00:04</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02:00:00:00:00:06</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02:00:00:00:00:25</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02:00:00:00:00:1f</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pc-windows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02:00:00:00:00:18</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phone-ip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02:00:00:00:00:1e</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phone-ip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02:00:00:00:00:13</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phone-ip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02:00:00:00:00:1b</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Hyperviseur</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02:00:00:00:00:01</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SRV-APP-01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 Server</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02:00:00:00:00:15</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&lt;unknown&gt;</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02:00:00:00:00:1a</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02:00:00:00:00:23</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02:00:00:00:00:37</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02:00:00:00:00:1c</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02:00:00:00:00:0f</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02:00:00:00:00:14</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02:00:00:00:00:22</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02:00:00:00:00:16</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02:00:00:00:00:38</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unknown</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02:00:00:00:00:27</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printer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02:00:00:00:00:26</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printer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02:00:00:00:00:20</w:t>
            </w:r>
          </w:p>
        </w:tc>
        <w:tc>
          <w:tcPr>
            <w:tcW w:type="dxa" w:w="2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wifi-ap</w:t>
            </w:r>
          </w:p>
        </w:tc>
      </w:tr>
    </w:tbl>
    <w:p>
      <w:r>
        <w:br w:type="page"/>
      </w:r>
    </w:p>
    <w:p>
      <w:pPr>
        <w:pStyle w:val="Heading1"/>
        <w:spacing w:after="160"/>
      </w:pPr>
      <w:r>
        <w:t xml:space="preserve">4. Équipements d’infrastructure (détail par type)</w:t>
      </w:r>
    </w:p>
    <w:p>
      <w:pPr>
        <w:spacing w:after="80"/>
      </w:pPr>
      <w:r>
        <w:t xml:space="preserve">Détail des hôtes du scan correspondant à des équipements d’infrastructure (NAS, serveurs, caméras, téléphonie IP, équipements réseau, TPV, etc.), regroupés par catégorie et avec leurs ports ouverts. Les postes utilisateurs sont traités en section 6.</w:t>
      </w:r>
    </w:p>
    <w:p>
      <w:pPr>
        <w:pStyle w:val="Heading2"/>
        <w:spacing w:after="120"/>
      </w:pPr>
      <w:r>
        <w:t xml:space="preserve">NAS / stockage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02:00:00:00:00:03</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139/netbios-ssn, 443/https, 445/microsoft-d</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02:00:00:00:00:02</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NAS-PRINCIPAL</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139/netbios-ssn, 443/https, 445/microsoft-d</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02:00:00:00:00:21</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NAS-SAUVEGARDE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 139/netbios-ssn, 443/https, 445/microsoft-ds, 5000/</w:t>
            </w:r>
          </w:p>
        </w:tc>
      </w:tr>
    </w:tbl>
    <w:p>
      <w:pPr>
        <w:spacing w:after="80"/>
      </w:pPr>
      <w:r>
        <w:t xml:space="preserve"/>
      </w:r>
    </w:p>
    <w:p>
      <w:pPr>
        <w:pStyle w:val="Heading2"/>
        <w:spacing w:after="120"/>
      </w:pPr>
      <w:r>
        <w:t xml:space="preserve">Serveurs (4)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02:00:00:00:00:1b</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Hyperviseur</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427/svrloc, 443/https, 902/iss-realsecure, </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02:00:00:00:00:01</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SRV-APP-01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 Server</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135/msrpc, 139/netbios-ssn, 443/https, 445/</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02:00:00:00:00:15</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&lt;unknown&gt;</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7/echo, 9/discard, 13/daytime, 17/qotd, 19/chargen, 22/ssh, </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02:00:00:00:00:1a</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443/https</w:t>
            </w:r>
          </w:p>
        </w:tc>
      </w:tr>
    </w:tbl>
    <w:p>
      <w:pPr>
        <w:spacing w:after="80"/>
      </w:pPr>
      <w:r>
        <w:t xml:space="preserve"/>
      </w:r>
    </w:p>
    <w:p>
      <w:pPr>
        <w:pStyle w:val="Heading2"/>
        <w:spacing w:after="120"/>
      </w:pPr>
      <w:r>
        <w:t xml:space="preserve">Caméras IP (18)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02:00:00:00:00:29</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 554/rtsp, 5000/upnp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02:00:00:00:00:2a</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02:00:00:00:00:33</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 554/rtsp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02:00:00:00:00:34</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5000/upnp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02:00:00:00:00:0b</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5000/upnp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02:00:00:00:00:0a</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5000/upnp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02:00:00:00:00:28</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5000/upnp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02:00:00:00:00:2c</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02:00:00:00:00:2b</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camera-ip</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02:00:00:00:00:31</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02:00:00:00:00:32</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02:00:00:00:00:30</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02:00:00:00:00:2d</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02:00:00:00:00:2e</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02:00:00:00:00:2f</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554/rtsp, 1935/rtmp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10.77.30.39</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02:00:00:00:00:0c</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02:00:00:00:00:0d</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02:00:00:00:00:0e</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bl>
    <w:p>
      <w:pPr>
        <w:spacing w:after="80"/>
      </w:pPr>
      <w:r>
        <w:t xml:space="preserve"/>
      </w:r>
    </w:p>
    <w:p>
      <w:pPr>
        <w:pStyle w:val="Heading2"/>
        <w:spacing w:after="120"/>
      </w:pPr>
      <w:r>
        <w:t xml:space="preserve">Téléphonie IP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02:00:00:00:00:18</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80/http, 443/https, 5060/sip, 8000/http-alt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02:00:00:00:00:1e</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443/https, 5060/sip</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02:00:00:00:00:13</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443/https, 5060/sip</w:t>
            </w:r>
          </w:p>
        </w:tc>
      </w:tr>
    </w:tbl>
    <w:p>
      <w:pPr>
        <w:spacing w:after="80"/>
      </w:pPr>
      <w:r>
        <w:t xml:space="preserve"/>
      </w:r>
    </w:p>
    <w:p>
      <w:pPr>
        <w:pStyle w:val="Heading2"/>
        <w:spacing w:after="120"/>
      </w:pPr>
      <w:r>
        <w:t xml:space="preserve">Équipements réseau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10.77.30.254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02:00:00:00:00:10</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Linux</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443/https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02:00:00:00:00:12</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135/msrpc, 139/netbios-ssn, 445/microsoft-ds, 5357/w</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02:00:00:00:00:11</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135/msrpc, 139/netbios-ssn, 445/microsoft-ds, 5357/w</w:t>
            </w:r>
          </w:p>
        </w:tc>
      </w:tr>
    </w:tbl>
    <w:p>
      <w:pPr>
        <w:spacing w:after="80"/>
      </w:pPr>
      <w:r>
        <w:t xml:space="preserve"/>
      </w:r>
    </w:p>
    <w:p>
      <w:pPr>
        <w:pStyle w:val="Heading2"/>
        <w:spacing w:after="120"/>
      </w:pPr>
      <w:r>
        <w:t xml:space="preserve">Imprimantes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02:00:00:00:00:27</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 443/https, 515/printer, 631/ipp, 9100/jetdirect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10.77.30.61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02:00:00:00:00:26</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 443/https, 515/printer, 631/ipp, 9100/jetdirect</w:t>
            </w:r>
          </w:p>
        </w:tc>
      </w:tr>
    </w:tbl>
    <w:p>
      <w:pPr>
        <w:spacing w:after="80"/>
      </w:pPr>
      <w:r>
        <w:t xml:space="preserve"/>
      </w:r>
    </w:p>
    <w:p>
      <w:pPr>
        <w:pStyle w:val="Heading2"/>
        <w:spacing w:after="120"/>
      </w:pPr>
      <w:r>
        <w:t xml:space="preserve">Points d’accès WiFi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02:00:00:00:00:20</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80/http</w:t>
            </w:r>
          </w:p>
        </w:tc>
      </w:tr>
    </w:tbl>
    <w:p>
      <w:pPr>
        <w:spacing w:after="80"/>
      </w:pPr>
      <w:r>
        <w:t xml:space="preserve"/>
      </w:r>
    </w:p>
    <w:p>
      <w:pPr>
        <w:pStyle w:val="Heading2"/>
        <w:spacing w:after="120"/>
      </w:pPr>
      <w:r>
        <w:t xml:space="preserve">Équipements spécialisés / non identifiés (8)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1800"/>
        <w:gridCol w:w="1700"/>
        <w:gridCol w:w="1700"/>
        <w:gridCol w:w="13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8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 / Type</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Ports ouverts</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02:00:00:00:00:23</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unknown</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02:00:00:00:00:37</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13</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10.77.30.77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02:00:00:00:00:1c</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22/ssh, 23/telnet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10.77.30.22</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02:00:00:00:00:0f</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11</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02:00:00:00:00:14</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05</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embarqué</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10.77.30.28</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02:00:00:00:00:22</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unknown</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10.77.30.46</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02:00:00:00:00:16</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20</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unknown</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10.77.30.47</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02:00:00:00:00:38</w:t>
            </w:r>
          </w:p>
        </w:tc>
        <w:tc>
          <w:tcPr>
            <w:tcW w:type="dxa" w:w="18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unknown</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
            </w:r>
          </w:p>
        </w:tc>
      </w:tr>
    </w:tbl>
    <w:p>
      <w:pPr>
        <w:spacing w:after="80"/>
      </w:pPr>
      <w:r>
        <w:t xml:space="preserve"/>
      </w:r>
    </w:p>
    <w:p>
      <w:r>
        <w:br w:type="page"/>
      </w:r>
    </w:p>
    <w:p>
      <w:pPr>
        <w:pStyle w:val="Heading1"/>
        <w:spacing w:after="160"/>
      </w:pPr>
      <w:r>
        <w:t xml:space="preserve">5. Équipements documentés sur site</w:t>
      </w:r>
    </w:p>
    <w:p>
      <w:pPr>
        <w:spacing w:after="80"/>
      </w:pPr>
      <w:r>
        <w:t xml:space="preserve">73 équipements ont été documentés par le technicien. </w:t>
      </w:r>
      <w:r>
        <w:rPr>
          <w:b/>
          <w:bCs/>
        </w:rPr>
        <w:t xml:space="preserve">54 </w:t>
      </w:r>
      <w:r>
        <w:t xml:space="preserve">disposent d’une ou plusieurs photographies, 19 sont sans photo retrouvee.</w:t>
      </w:r>
    </w:p>
    <w:p>
      <w:pPr>
        <w:pStyle w:val="Heading2"/>
        <w:spacing w:after="120"/>
      </w:pPr>
      <w:r>
        <w:t xml:space="preserve">Routeurs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Routeur de raccordement opérateur</w:t>
            </w:r>
          </w:p>
        </w:tc>
      </w:tr>
    </w:tbl>
    <w:p>
      <w:pPr>
        <w:spacing w:after="80"/>
      </w:pPr>
      <w:r>
        <w:t xml:space="preserve"/>
      </w:r>
    </w:p>
    <w:p>
      <w:pPr>
        <w:pStyle w:val="Heading2"/>
        <w:spacing w:after="120"/>
      </w:pPr>
      <w:r>
        <w:t xml:space="preserve">Switches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 de distribution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 de distribution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 de distribution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 de distribution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006</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SN-EQ-006</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 de distribution</w:t>
            </w:r>
          </w:p>
        </w:tc>
      </w:tr>
    </w:tbl>
    <w:p>
      <w:pPr>
        <w:spacing w:after="80"/>
      </w:pPr>
      <w:r>
        <w:t xml:space="preserve"/>
      </w:r>
    </w:p>
    <w:p>
      <w:pPr>
        <w:pStyle w:val="Heading2"/>
        <w:spacing w:after="120"/>
      </w:pPr>
      <w:r>
        <w:t xml:space="preserve">Points d’accès WiFi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007</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SN-EQ-007</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Point d’accès du site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008</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SN-EQ-008</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Contrôle d’accès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009</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SN-EQ-009</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Terminal d’accès</w:t>
            </w:r>
          </w:p>
        </w:tc>
      </w:tr>
    </w:tbl>
    <w:p>
      <w:pPr>
        <w:spacing w:after="80"/>
      </w:pPr>
      <w:r>
        <w:t xml:space="preserve"/>
      </w:r>
    </w:p>
    <w:p>
      <w:pPr>
        <w:pStyle w:val="Heading2"/>
        <w:spacing w:after="120"/>
      </w:pPr>
      <w:r>
        <w:t xml:space="preserve">Serveurs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010</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SN-EQ-010</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Serveur applicatif métier</w:t>
            </w:r>
          </w:p>
        </w:tc>
      </w:tr>
    </w:tbl>
    <w:p>
      <w:pPr>
        <w:spacing w:after="80"/>
      </w:pPr>
      <w:r>
        <w:t xml:space="preserve"/>
      </w:r>
    </w:p>
    <w:p>
      <w:pPr>
        <w:pStyle w:val="Heading2"/>
        <w:spacing w:after="120"/>
      </w:pPr>
      <w:r>
        <w:t xml:space="preserve">Baies / rack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Baie informatique</w:t>
            </w:r>
          </w:p>
        </w:tc>
      </w:tr>
    </w:tbl>
    <w:p>
      <w:pPr>
        <w:spacing w:after="80"/>
      </w:pPr>
      <w:r>
        <w:t xml:space="preserve"/>
      </w:r>
    </w:p>
    <w:p>
      <w:pPr>
        <w:pStyle w:val="Heading2"/>
        <w:spacing w:after="120"/>
      </w:pPr>
      <w:r>
        <w:t xml:space="preserve">Caméras (7)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016</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SN-EQ-016</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017</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 xml:space="preserve">-</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018</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 xml:space="preserve">-</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Caméra de vidéosurveillance</w:t>
            </w:r>
          </w:p>
        </w:tc>
      </w:tr>
    </w:tbl>
    <w:p>
      <w:pPr>
        <w:spacing w:after="80"/>
      </w:pPr>
      <w:r>
        <w:t xml:space="preserve"/>
      </w:r>
    </w:p>
    <w:p>
      <w:pPr>
        <w:pStyle w:val="Heading2"/>
        <w:spacing w:after="120"/>
      </w:pPr>
      <w:r>
        <w:t xml:space="preserve">Imprimantes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019</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SN-EQ-019</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 réseau</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020</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SN-EQ-020</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 réseau</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 réseau</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 réseau</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 réseau</w:t>
            </w:r>
          </w:p>
        </w:tc>
      </w:tr>
    </w:tbl>
    <w:p>
      <w:pPr>
        <w:spacing w:after="80"/>
      </w:pPr>
      <w:r>
        <w:t xml:space="preserve"/>
      </w:r>
    </w:p>
    <w:p>
      <w:pPr>
        <w:pStyle w:val="Heading2"/>
        <w:spacing w:after="120"/>
      </w:pPr>
      <w:r>
        <w:t xml:space="preserve">Alarmes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Système d’alarme</w:t>
            </w:r>
          </w:p>
        </w:tc>
      </w:tr>
    </w:tbl>
    <w:p>
      <w:pPr>
        <w:spacing w:after="80"/>
      </w:pPr>
      <w:r>
        <w:t xml:space="preserve"/>
      </w:r>
    </w:p>
    <w:p>
      <w:pPr>
        <w:pStyle w:val="Heading2"/>
        <w:spacing w:after="120"/>
      </w:pPr>
      <w:r>
        <w:t xml:space="preserve">Autres équipements (31)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2160"/>
        <w:gridCol w:w="2900"/>
      </w:tblGrid>
      <w:tr>
        <w:trPr>
          <w:tblHeader/>
        </w:trPr>
        <w:tc>
          <w:tcPr>
            <w:tcW w:type="dxa" w:w="1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Label</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Photo</w:t>
            </w:r>
          </w:p>
        </w:tc>
        <w:tc>
          <w:tcPr>
            <w:tcW w:type="dxa" w:w="2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Numéro de série</w:t>
            </w:r>
          </w:p>
        </w:tc>
        <w:tc>
          <w:tcPr>
            <w:tcW w:type="dxa" w:w="2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pPr>
              <w:jc w:val="center"/>
            </w:pPr>
            <w:r>
              <w:rPr>
                <w:b/>
                <w:bCs/>
                <w:color w:val="FFFFFF"/>
                <w:sz w:val="16"/>
                <w:szCs w:val="16"/>
              </w:rPr>
              <w:t xml:space="preserve">Notes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Imprimante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026</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SN-EQ-026</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027</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SN-EQ-027</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028</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SN-EQ-028</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029</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SN-EQ-029</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030</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SN-EQ-030</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Commutateur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Point d’accès Wi-Fi</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Terminal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Téléphone IP</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Terminal de paiement</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036</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SN-EQ-036</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Écran de supervision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037</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SN-EQ-037</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Poste utilisateur sans accès administrateur confirmé</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038</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SN-EQ-038</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Répéteur Wi-Fi</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039</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SN-EQ-039</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Écran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040</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SN-EQ-040</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Répéteur Wi-Fi</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Contrôle d’accès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Onduleur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Stockage réseau</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Raccordement optique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046</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t>[Visuel du site retiré]</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SN-EQ-046</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Distribution optique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047</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 xml:space="preserve">-</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inaccessible dans la baie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048</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SN-EQ-048</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Écran de supervision</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049</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SN-EQ-049</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Contrôle d’accès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050</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SN-EQ-050</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Contrôle d’accès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051</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SN-EQ-051</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Interphone</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052</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SN-EQ-052</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Contrôle d’accès</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053</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SN-EQ-053</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 non renseigné</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054</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SN-EQ-054</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r>
        <w:trPr>
          <w:cantSplit/>
        </w:trPr>
        <w:tc>
          <w:tcPr>
            <w:tcW w:type="dxa" w:w="1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b/>
                <w:bCs/>
                <w:sz w:val="16"/>
                <w:szCs w:val="16"/>
              </w:rPr>
              <w:t>Équipement 055</w:t>
            </w:r>
          </w:p>
        </w:tc>
        <w:tc>
          <w:tcPr>
            <w:tcBorders>
              <w:top w:val="single" w:color="CCCCCC" w:sz="4"/>
              <w:left w:val="single" w:color="CCCCCC" w:sz="4"/>
              <w:bottom w:val="single" w:color="CCCCCC" w:sz="4"/>
              <w:right w:val="single" w:color="CCCCCC" w:sz="4"/>
            </w:tcBorders>
            <w:tcMar>
              <w:top w:type="dxa" w:w="30"/>
              <w:left w:type="dxa" w:w="30"/>
              <w:bottom w:type="dxa" w:w="30"/>
              <w:right w:type="dxa" w:w="30"/>
            </w:tcMar>
            <w:vAlign w:val="center"/>
          </w:tcPr>
          <w:p>
            <w:pPr>
              <w:jc w:val="center"/>
            </w:pPr>
            <w:r>
              <w:rPr>
                <w:i/>
                <w:iCs/>
                <w:color w:val="595959"/>
                <w:sz w:val="14"/>
                <w:szCs w:val="14"/>
              </w:rPr>
              <w:t xml:space="preserve">-</w:t>
            </w:r>
          </w:p>
        </w:tc>
        <w:tc>
          <w:tcPr>
            <w:tcW w:type="dxa" w:w="2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pPr>
              <w:jc w:val="center"/>
            </w:pPr>
            <w:r>
              <w:rPr>
                <w:sz w:val="16"/>
                <w:szCs w:val="16"/>
              </w:rPr>
              <w:t>SN-EQ-055</w:t>
            </w:r>
          </w:p>
        </w:tc>
        <w:tc>
          <w:tcPr>
            <w:tcW w:type="dxa" w:w="2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Équipement métier</w:t>
            </w:r>
          </w:p>
        </w:tc>
      </w:tr>
    </w:tbl>
    <w:p>
      <w:pPr>
        <w:spacing w:after="80"/>
      </w:pPr>
      <w:r>
        <w:t xml:space="preserve"/>
      </w:r>
    </w:p>
    <w:p>
      <w:r>
        <w:br w:type="page"/>
      </w:r>
    </w:p>
    <w:p>
      <w:pPr>
        <w:pStyle w:val="Heading1"/>
        <w:spacing w:after="160"/>
      </w:pPr>
      <w:r>
        <w:t xml:space="preserve">6. Postes informatiques audités</w:t>
      </w:r>
    </w:p>
    <w:p>
      <w:pPr>
        <w:spacing w:after="80"/>
      </w:pPr>
      <w:r>
        <w:t xml:space="preserve">17 postes ont exécuté le script de collecte. </w:t>
      </w:r>
      <w:r>
        <w:rPr>
          <w:b/>
          <w:bCs/>
        </w:rPr>
        <w:t xml:space="preserve">16/17 </w:t>
      </w:r>
      <w:r>
        <w:t xml:space="preserve">sont également détectés par le scan nmap, </w:t>
      </w:r>
      <w:r>
        <w:rPr>
          <w:b/>
          <w:bCs/>
        </w:rPr>
        <w:t xml:space="preserve">14/17 </w:t>
      </w:r>
      <w:r>
        <w:t xml:space="preserve">ont remonté leur numéro de série BIOS.</w:t>
      </w:r>
    </w:p>
    <w:p>
      <w:pPr>
        <w:spacing w:after="80"/>
      </w:pPr>
      <w:r>
        <w:rPr>
          <w:color w:val="595959"/>
        </w:rPr>
        <w:t xml:space="preserve">Note : le numéro de série BIOS n’est remonté que lorsque le script est exécuté avec des droits administrateur. Son absence sur certains postes signifie que le script y a été lancé sans élévation (et non que la donnée est indisponible).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100"/>
        <w:gridCol w:w="1500"/>
        <w:gridCol w:w="1300"/>
        <w:gridCol w:w="1860"/>
        <w:gridCol w:w="1300"/>
        <w:gridCol w:w="700"/>
      </w:tblGrid>
      <w:tr>
        <w:trPr>
          <w:cantSplit w:val="false"/>
          <w:tblHeader/>
        </w:trPr>
        <w:tc>
          <w:tcPr>
            <w:tcW w:type="dxa" w:w="1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Hostname</w:t>
            </w:r>
          </w:p>
        </w:tc>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Connexion</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SN BIOS</w:t>
            </w:r>
          </w:p>
        </w:tc>
        <w:tc>
          <w:tcPr>
            <w:tcW w:type="dxa" w:w="13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18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MAC</w:t>
            </w:r>
          </w:p>
        </w:tc>
        <w:tc>
          <w:tcPr>
            <w:tcW w:type="dxa" w:w="13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OS</w:t>
            </w:r>
          </w:p>
        </w:tc>
        <w:tc>
          <w:tcPr>
            <w:tcW w:type="dxa" w:w="7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Admin</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non</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HOTE-11</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SN-PC-002</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10.77.30.36</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02:00:00:00:00:1d</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HOTE-17</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SN-PC-003</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10.77.30.24</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HOTE-10</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SN-PC-004</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10.77.30.35</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02:00:00:00:00:19</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HOTE-09</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10.77.30.34</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02:00:00:00:00:07</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HOTE-02</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SN-PC-006</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10.77.30.31</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02:00:00:00:00:11</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HOTE-16</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10.77.30.50</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02:00:00:00:00:1f</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non</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HOTE-08</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SN-PC-008</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10.77.30.33</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02:00:00:00:00:17</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HOTE-06</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SN-PC-009</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10.77.30.29</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02:00:00:00:00:09</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HOTE-01</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SN-PC-010</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10.77.30.26</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02:00:00:00:00:12</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HOTE-18</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SN-PC-011</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10.77.30.46</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02:00:00:00:00:16</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HOTE-13</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10.77.30.45</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02:00:00:00:00:04</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non</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HOTE-19</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SN-PC-013</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10.77.30.42</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HOTE-14</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SN-PC-014</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10.77.30.48</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02:00:00:00:00:06</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HOTE-12</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10.77.30.43</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02:00:00:00:00:39</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HOTE-15</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SN-PC-016</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10.77.30.49</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02:00:00:00:00:25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HOTE-07</w:t>
            </w:r>
          </w:p>
        </w:tc>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RJ45</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SN-PC-017</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10.77.30.32</w:t>
            </w:r>
          </w:p>
        </w:tc>
        <w:tc>
          <w:tcPr>
            <w:tcW w:type="dxa" w:w="1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02:00:00:00:00:08</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Windows</w:t>
            </w:r>
          </w:p>
        </w:tc>
        <w:tc>
          <w:tcPr>
            <w:tcW w:type="dxa" w:w="7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oui</w:t>
            </w:r>
          </w:p>
        </w:tc>
      </w:tr>
    </w:tbl>
    <w:p>
      <w:pPr>
        <w:spacing w:after="100"/>
      </w:pPr>
      <w:r>
        <w:t xml:space="preserve"/>
      </w:r>
    </w:p>
    <w:p>
      <w:pPr>
        <w:spacing w:after="80"/>
      </w:pPr>
      <w:r>
        <w:rPr>
          <w:color w:val="595959"/>
        </w:rPr>
        <w:t xml:space="preserve">Note : les postes sans correspondance réseau étaient opérationnels (le script d’inventaire s’est execute avec succes). Hypothese probable : firewall hôte actif bloquant les sondes du scan réseau.</w:t>
      </w:r>
    </w:p>
    <w:p>
      <w:r>
        <w:br w:type="page"/>
      </w:r>
    </w:p>
    <w:p>
      <w:pPr>
        <w:pStyle w:val="Heading1"/>
        <w:spacing w:after="160"/>
      </w:pPr>
      <w:r>
        <w:t xml:space="preserve">7. Mesures réseau</w:t>
      </w:r>
    </w:p>
    <w:p>
      <w:pPr>
        <w:pStyle w:val="Heading2"/>
        <w:spacing w:after="120"/>
      </w:pPr>
      <w:r>
        <w:t xml:space="preserve">Debit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val="false"/>
          <w:tblHeader/>
        </w:trPr>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Mesure</w:t>
            </w:r>
          </w:p>
        </w:tc>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Download (Cloudflare speedtest)</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Mbps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Upload (Cloudflare speedtest)</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19 Mbps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Latence idle (HTTP)</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60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Jitter idle</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25 ms</w:t>
            </w:r>
          </w:p>
        </w:tc>
      </w:tr>
    </w:tbl>
    <w:p>
      <w:pPr>
        <w:pStyle w:val="Heading2"/>
        <w:spacing w:after="120"/>
      </w:pPr>
      <w:r>
        <w:t xml:space="preserve">Latence vers la gateway 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val="false"/>
          <w:tblHeader/>
        </w:trPr>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Indicateur</w:t>
            </w:r>
          </w:p>
        </w:tc>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min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0.2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moyen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0.3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max</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0.5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p95</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0.4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Jitter</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0.1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Perte</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0 %</w:t>
            </w:r>
          </w:p>
        </w:tc>
      </w:tr>
    </w:tbl>
    <w:p>
      <w:pPr>
        <w:pStyle w:val="Heading2"/>
        <w:spacing w:after="120"/>
      </w:pPr>
      <w:r>
        <w:t xml:space="preserve">Latence vers Internet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val="false"/>
          <w:tblHeader/>
        </w:trPr>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Indicateur</w:t>
            </w:r>
          </w:p>
        </w:tc>
        <w:tc>
          <w:tcPr>
            <w:tcW w:type="dxa" w:w="468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min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14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moyen</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15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max</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17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RTT p95</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17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Jitter</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0.2 ms</w:t>
            </w:r>
          </w:p>
        </w:tc>
      </w:tr>
      <w:tr>
        <w:trPr>
          <w:cantSplit/>
          <w:tblHeader w:val="false"/>
        </w:trPr>
        <w:tc>
          <w:tcPr>
            <w:tcW w:type="dxa" w:w="468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Perte (indicatif, voir note)</w:t>
            </w:r>
          </w:p>
        </w:tc>
        <w:tc>
          <w:tcPr>
            <w:tcW w:type="dxa" w:w="468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w:t>
            </w:r>
          </w:p>
        </w:tc>
      </w:tr>
    </w:tbl>
    <w:p>
      <w:pPr>
        <w:spacing w:after="80"/>
      </w:pPr>
      <w:r>
        <w:rPr>
          <w:b/>
          <w:bCs/>
        </w:rPr>
        <w:t xml:space="preserve">Note de lecture : </w:t>
      </w:r>
      <w:r>
        <w:rPr>
          <w:color w:val="595959"/>
        </w:rPr>
        <w:t xml:space="preserve">la perte de paquets est mesurée en ICMP vers un résolveur public. Une valeur élevée est souvent un artefact (rate-limit ICMP de la cible anycast, ou shaping pendant la saturation du lien par le test de débit) plutôt qu’une perte réelle. Les indicateurs de stabilité (RTT, jitter) et le débit TCP font foi sur la qualité réelle du lien.</w:t>
      </w:r>
    </w:p>
    <w:p>
      <w:pPr>
        <w:pStyle w:val="Heading2"/>
        <w:spacing w:after="120"/>
      </w:pPr>
      <w:r>
        <w:t xml:space="preserve">DNS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cantSplit w:val="false"/>
          <w:tblHeader/>
        </w:trPr>
        <w:tc>
          <w:tcPr>
            <w:tcW w:type="dxa" w:w="30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Element</w:t>
            </w:r>
          </w:p>
        </w:tc>
        <w:tc>
          <w:tcPr>
            <w:tcW w:type="dxa" w:w="6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Resolveurs configures</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8.8.8.8, 8.8.4.4 (Google Public DNS)</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Categorie</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Public</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Temps de resolution</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25 ms</w:t>
            </w:r>
          </w:p>
        </w:tc>
      </w:tr>
      <w:tr>
        <w:trPr>
          <w:cantSplit/>
          <w:tblHeader w:val="false"/>
        </w:trPr>
        <w:tc>
          <w:tcPr>
            <w:tcW w:type="dxa" w:w="30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Detection de DNS hijack</w:t>
            </w:r>
          </w:p>
        </w:tc>
        <w:tc>
          <w:tcPr>
            <w:tcW w:type="dxa" w:w="6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color w:val="2E7D32"/>
                <w:sz w:val="16"/>
                <w:szCs w:val="16"/>
              </w:rPr>
              <w:t xml:space="preserve">Non</w:t>
            </w:r>
          </w:p>
        </w:tc>
      </w:tr>
    </w:tbl>
    <w:p>
      <w:r>
        <w:br w:type="page"/>
      </w:r>
    </w:p>
    <w:p>
      <w:pPr>
        <w:pStyle w:val="Heading1"/>
        <w:spacing w:after="160"/>
      </w:pPr>
      <w:r>
        <w:t xml:space="preserve">8. Exposition internet (scan IP publique)</w:t>
      </w:r>
    </w:p>
    <w:p>
      <w:pPr>
        <w:spacing w:after="80"/>
      </w:pPr>
      <w:r>
        <w:t>Scan automatique des 200 ports TCP les plus courants effectue depuis internet vers l’IP publique du site ([IP publique anonymisée]). Méthode : nmap TCP connect non-destructif, detection de service légère. Date du scan : Jour J+1  (déclencheur manual, durée non publiée).</w:t>
      </w:r>
      <w:r>
        <w:rPr>
          <w:b/>
          <w:bCs/>
        </w:rPr>
      </w:r>
      <w:r/>
    </w:p>
    <w:p>
      <w:pPr>
        <w:spacing w:after="80"/>
      </w:pPr>
      <w:r>
        <w:rPr>
          <w:b/>
          <w:bCs/>
          <w:color w:val="C00000"/>
        </w:rPr>
        <w:t xml:space="preserve">3 ports ouverts sur internet. 2 CRITIQUES. 1 ELEVE.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500"/>
        <w:gridCol w:w="2200"/>
        <w:gridCol w:w="1500"/>
        <w:gridCol w:w="3060"/>
      </w:tblGrid>
      <w:tr>
        <w:trPr>
          <w:cantSplit w:val="false"/>
          <w:tblHeader/>
        </w:trPr>
        <w:tc>
          <w:tcPr>
            <w:tcW w:type="dxa" w:w="11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Port</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Service</w:t>
            </w:r>
          </w:p>
        </w:tc>
        <w:tc>
          <w:tcPr>
            <w:tcW w:type="dxa" w:w="22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Produit / version</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Criticite</w:t>
            </w:r>
          </w:p>
        </w:tc>
        <w:tc>
          <w:tcPr>
            <w:tcW w:type="dxa" w:w="30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Constat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22/tcp</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tcpwrapped</w:t>
            </w:r>
          </w:p>
        </w:tc>
        <w:tc>
          <w:tcPr>
            <w:tcW w:type="dxa" w:w="22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color w:val="B26A00"/>
                <w:sz w:val="16"/>
                <w:szCs w:val="16"/>
              </w:rPr>
              <w:t xml:space="preserve">ELEVE</w:t>
            </w:r>
          </w:p>
        </w:tc>
        <w:tc>
          <w:tcPr>
            <w:tcW w:type="dxa" w:w="3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Service SSH (administration distante) accessible depuis internet</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23/tcp</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tcpwrapped</w:t>
            </w:r>
          </w:p>
        </w:tc>
        <w:tc>
          <w:tcPr>
            <w:tcW w:type="dxa" w:w="22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color w:val="C00000"/>
                <w:sz w:val="16"/>
                <w:szCs w:val="16"/>
              </w:rPr>
              <w:t xml:space="preserve">CRITIQUE</w:t>
            </w:r>
          </w:p>
        </w:tc>
        <w:tc>
          <w:tcPr>
            <w:tcW w:type="dxa" w:w="3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Protocole Telnet : credentials transmis en clair</w:t>
            </w:r>
          </w:p>
        </w:tc>
      </w:tr>
      <w:tr>
        <w:trPr>
          <w:cantSplit/>
          <w:tblHeader w:val="false"/>
        </w:trPr>
        <w:tc>
          <w:tcPr>
            <w:tcW w:type="dxa" w:w="11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 xml:space="preserve">5432/tcp</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postgresql</w:t>
            </w:r>
          </w:p>
        </w:tc>
        <w:tc>
          <w:tcPr>
            <w:tcW w:type="dxa" w:w="22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PostgreSQL DB</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color w:val="C00000"/>
                <w:sz w:val="16"/>
                <w:szCs w:val="16"/>
              </w:rPr>
              <w:t xml:space="preserve">CRITIQUE</w:t>
            </w:r>
          </w:p>
        </w:tc>
        <w:tc>
          <w:tcPr>
            <w:tcW w:type="dxa" w:w="30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Base de données PostgreSQL accessible depuis internet</w:t>
            </w:r>
          </w:p>
        </w:tc>
      </w:tr>
    </w:tbl>
    <w:p>
      <w:r>
        <w:br w:type="page"/>
      </w:r>
    </w:p>
    <w:p>
      <w:pPr>
        <w:pStyle w:val="Heading1"/>
        <w:spacing w:after="160"/>
      </w:pPr>
      <w:r>
        <w:t xml:space="preserve">9. Mesures de signal 4G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500"/>
        <w:gridCol w:w="1500"/>
        <w:gridCol w:w="1300"/>
        <w:gridCol w:w="1500"/>
        <w:gridCol w:w="1960"/>
      </w:tblGrid>
      <w:tr>
        <w:trPr>
          <w:cantSplit w:val="false"/>
          <w:tblHeader/>
        </w:trPr>
        <w:tc>
          <w:tcPr>
            <w:tcW w:type="dxa" w:w="1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Emplacement</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Opérateur</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RSRP (dBm)</w:t>
            </w:r>
          </w:p>
        </w:tc>
        <w:tc>
          <w:tcPr>
            <w:tcW w:type="dxa" w:w="13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SNR (dB)</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Technologie</w:t>
            </w:r>
          </w:p>
        </w:tc>
        <w:tc>
          <w:tcPr>
            <w:tcW w:type="dxa" w:w="19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Mesure</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Intérieur</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SFR</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-95</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6</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LTE</w:t>
            </w:r>
          </w:p>
        </w:tc>
        <w:tc>
          <w:tcPr>
            <w:tcW w:type="dxa" w:w="19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Jour J</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Extérieur</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SFR</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-88</w:t>
            </w:r>
          </w:p>
        </w:tc>
        <w:tc>
          <w:tcPr>
            <w:tcW w:type="dxa" w:w="1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3</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LTE</w:t>
            </w:r>
          </w:p>
        </w:tc>
        <w:tc>
          <w:tcPr>
            <w:tcW w:type="dxa" w:w="19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Jour J</w:t>
            </w:r>
          </w:p>
        </w:tc>
      </w:tr>
    </w:tbl>
    <w:p>
      <w:pPr>
        <w:spacing w:after="100"/>
      </w:pPr>
      <w:r>
        <w:t xml:space="preserve"/>
      </w:r>
    </w:p>
    <w:p>
      <w:pPr>
        <w:spacing w:after="80" w:before="120"/>
        <w:jc w:val="center"/>
      </w:pPr>
      <w:r>
        <w:drawing>
          <wp:inline distT="0" distB="0" distL="0" distR="0">
            <wp:extent cx="4095750" cy="2733675"/>
            <wp:effectExtent t="0" r="0" b="0" l="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cstate="none"/>
                    <a:srcRect/>
                    <a:stretch>
                      <a:fillRect/>
                    </a:stretch>
                  </pic:blipFill>
                  <pic:spPr bwMode="auto">
                    <a:xfrm>
                      <a:off x="0" y="0"/>
                      <a:ext cx="4095750" cy="2733675"/>
                    </a:xfrm>
                    <a:prstGeom prst="rect">
                      <a:avLst/>
                    </a:prstGeom>
                  </pic:spPr>
                </pic:pic>
              </a:graphicData>
            </a:graphic>
          </wp:inline>
        </w:drawing>
      </w:r>
    </w:p>
    <w:p>
      <w:pPr>
        <w:spacing w:after="80"/>
        <w:jc w:val="center"/>
      </w:pPr>
      <w:r>
        <w:rPr>
          <w:color w:val="595959"/>
          <w:sz w:val="16"/>
          <w:szCs w:val="16"/>
        </w:rPr>
        <w:t>Abaque qualité 4G : les valeurs illustratives du tableau sont positionnées selon le RSRP (puissance reçue) et le SNR (qualité du signal). Rond : intérieur ; triangle : extérieur. Les zones colorées illustrent la lecture combinée des deux indicateurs et ne constituent pas une garantie de débit.</w:t>
      </w:r>
    </w:p>
    <w:p>
      <w:pPr>
        <w:spacing w:after="100"/>
      </w:pPr>
      <w:r>
        <w:t xml:space="preserve"/>
      </w:r>
    </w:p>
    <w:p>
      <w:pPr>
        <w:pStyle w:val="Heading2"/>
        <w:spacing w:after="120"/>
      </w:pPr>
      <w:r>
        <w:t xml:space="preserve">Stations de base à proximité</w:t>
      </w:r>
    </w:p>
    <w:p>
      <w:pPr>
        <w:spacing w:after="80"/>
      </w:pPr>
      <w:r>
        <w:t>Illustration radio fictive : 8 stations 4G/5G dans un rayon de 1 km. Répartition : Bouygues 2, Orange 4, SFR 2. Les positions, distances et caractéristiques ci-dessous ne correspondent pas au site audité.</w:t>
      </w:r>
    </w:p>
    <w:p>
      <w:pPr>
        <w:spacing w:after="80" w:before="120"/>
        <w:jc w:val="center"/>
      </w:pPr>
      <w:r>
        <w:drawing>
          <wp:inline distT="0" distB="0" distL="0" distR="0">
            <wp:extent cx="3429000" cy="3562350"/>
            <wp:effectExtent t="0" r="0" b="0" l="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cstate="none"/>
                    <a:srcRect/>
                    <a:stretch>
                      <a:fillRect/>
                    </a:stretch>
                  </pic:blipFill>
                  <pic:spPr bwMode="auto">
                    <a:xfrm>
                      <a:off x="0" y="0"/>
                      <a:ext cx="3429000" cy="356235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900"/>
        <w:gridCol w:w="1000"/>
        <w:gridCol w:w="1500"/>
        <w:gridCol w:w="2300"/>
        <w:gridCol w:w="900"/>
        <w:gridCol w:w="1360"/>
      </w:tblGrid>
      <w:tr>
        <w:trPr>
          <w:cantSplit w:val="false"/>
          <w:tblHeader/>
        </w:trPr>
        <w:tc>
          <w:tcPr>
            <w:tcW w:type="dxa" w:w="14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Opérateur</w:t>
            </w:r>
          </w:p>
        </w:tc>
        <w:tc>
          <w:tcPr>
            <w:tcW w:type="dxa" w:w="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Techno</w:t>
            </w:r>
          </w:p>
        </w:tc>
        <w:tc>
          <w:tcPr>
            <w:tcW w:type="dxa" w:w="10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Distance</w:t>
            </w:r>
          </w:p>
        </w:tc>
        <w:tc>
          <w:tcPr>
            <w:tcW w:type="dxa" w:w="1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Commune</w:t>
            </w:r>
          </w:p>
        </w:tc>
        <w:tc>
          <w:tcPr>
            <w:tcW w:type="dxa" w:w="23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Type de support</w:t>
            </w:r>
          </w:p>
        </w:tc>
        <w:tc>
          <w:tcPr>
            <w:tcW w:type="dxa" w:w="9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Hauteur</w:t>
            </w:r>
          </w:p>
        </w:tc>
        <w:tc>
          <w:tcPr>
            <w:tcW w:type="dxa" w:w="13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Couv. axe</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Bouygues</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0.30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Immeuble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Orange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0.38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Bâtiment</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15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SFR</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0.48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Pylône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25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Orange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4G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0.55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Bâtiment</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Bouygues</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0.65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Pylône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30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SFR</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4G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0.72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Immeuble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25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Orange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0.82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Pylône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20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r>
        <w:trPr>
          <w:cantSplit/>
          <w:tblHeader w:val="false"/>
        </w:trPr>
        <w:tc>
          <w:tcPr>
            <w:tcW w:type="dxa" w:w="14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Orange</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5G</w:t>
            </w:r>
          </w:p>
        </w:tc>
        <w:tc>
          <w:tcPr>
            <w:tcW w:type="dxa" w:w="10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0.90 km</w:t>
            </w:r>
          </w:p>
        </w:tc>
        <w:tc>
          <w:tcPr>
            <w:tcW w:type="dxa" w:w="15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Localité fictive</w:t>
            </w:r>
          </w:p>
        </w:tc>
        <w:tc>
          <w:tcPr>
            <w:tcW w:type="dxa" w:w="23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Bâtiment</w:t>
            </w:r>
          </w:p>
        </w:tc>
        <w:tc>
          <w:tcPr>
            <w:tcW w:type="dxa" w:w="9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15 m</w:t>
            </w:r>
          </w:p>
        </w:tc>
        <w:tc>
          <w:tcPr>
            <w:tcW w:type="dxa" w:w="13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w:t>
            </w:r>
          </w:p>
        </w:tc>
      </w:tr>
    </w:tbl>
    <w:p>
      <w:pPr>
        <w:spacing w:after="80"/>
      </w:pPr>
      <w:r>
        <w:rPr>
          <w:color w:val="595959"/>
          <w:sz w:val="16"/>
          <w:szCs w:val="16"/>
        </w:rPr>
        <w:t>Dans un audit client, cette rubrique s'appuie sur les données ARCEP et ANFR. Pour cet exemple, les positions, supports et hauteurs sont fictifs. Les opérateurs sont conservés pour illustrer la lecture de la carte. La présence d'une antenne ne garantit pas la couverture intérieure.</w:t>
      </w:r>
    </w:p>
    <w:p>
      <w:r>
        <w:br w:type="page"/>
      </w:r>
    </w:p>
    <w:p>
      <w:pPr>
        <w:pStyle w:val="Heading1"/>
        <w:spacing w:after="160"/>
      </w:pPr>
      <w:r>
        <w:t xml:space="preserve">10. Préparation à la migration opérateur</w:t>
      </w:r>
    </w:p>
    <w:p>
      <w:pPr>
        <w:spacing w:after="80"/>
      </w:pPr>
      <w:r>
        <w:rPr>
          <w:color w:val="C00000"/>
        </w:rPr>
        <w:t xml:space="preserve">Canevas générique à compléter par l’intégrateur selon la topologie confirmée. </w:t>
      </w:r>
      <w:r>
        <w:rPr>
          <w:color w:val="595959"/>
        </w:rPr>
        <w:t xml:space="preserve">Les valeurs ci-dessous sont extraites automatiquement de l’audit.</w:t>
      </w:r>
    </w:p>
    <w:p>
      <w:pPr>
        <w:pStyle w:val="Heading2"/>
        <w:spacing w:after="120"/>
      </w:pPr>
      <w:r>
        <w:t xml:space="preserve">10.1 Plan d’adressage à conserver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rPr>
          <w:cantSplit w:val="false"/>
          <w:tblHeader/>
        </w:trPr>
        <w:tc>
          <w:tcPr>
            <w:tcW w:type="dxa" w:w="35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Élément</w:t>
            </w:r>
          </w:p>
        </w:tc>
        <w:tc>
          <w:tcPr>
            <w:tcW w:type="dxa" w:w="58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Valeur (à préserver)</w:t>
            </w:r>
          </w:p>
        </w:tc>
      </w:tr>
      <w:tr>
        <w:trPr>
          <w:cantSplit/>
          <w:tblHeader w:val="false"/>
        </w:trPr>
        <w:tc>
          <w:tcPr>
            <w:tcW w:type="dxa" w:w="35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Sous-réseau LAN</w:t>
            </w:r>
          </w:p>
        </w:tc>
        <w:tc>
          <w:tcPr>
            <w:tcW w:type="dxa" w:w="5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10.77.30.0/24</w:t>
            </w:r>
          </w:p>
        </w:tc>
      </w:tr>
      <w:tr>
        <w:trPr>
          <w:cantSplit/>
          <w:tblHeader w:val="false"/>
        </w:trPr>
        <w:tc>
          <w:tcPr>
            <w:tcW w:type="dxa" w:w="35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Passerelle LAN</w:t>
            </w:r>
          </w:p>
        </w:tc>
        <w:tc>
          <w:tcPr>
            <w:tcW w:type="dxa" w:w="5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10.77.30.254</w:t>
            </w:r>
          </w:p>
        </w:tc>
      </w:tr>
      <w:tr>
        <w:trPr>
          <w:cantSplit/>
          <w:tblHeader w:val="false"/>
        </w:trPr>
        <w:tc>
          <w:tcPr>
            <w:tcW w:type="dxa" w:w="35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Résolveurs DNS observés</w:t>
            </w:r>
          </w:p>
        </w:tc>
        <w:tc>
          <w:tcPr>
            <w:tcW w:type="dxa" w:w="5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8.8.8.8, 8.8.4.4</w:t>
            </w:r>
          </w:p>
        </w:tc>
      </w:tr>
      <w:tr>
        <w:trPr>
          <w:cantSplit/>
          <w:tblHeader w:val="false"/>
        </w:trPr>
        <w:tc>
          <w:tcPr>
            <w:tcW w:type="dxa" w:w="3500"/>
            <w:tcBorders>
              <w:top w:val="single" w:color="CCCCCC" w:sz="4"/>
              <w:left w:val="single" w:color="CCCCCC" w:sz="4"/>
              <w:bottom w:val="single" w:color="CCCCCC" w:sz="4"/>
              <w:right w:val="single" w:color="CCCCCC" w:sz="4"/>
            </w:tcBorders>
            <w:shd w:fill="F2F2F2" w:val="clear"/>
            <w:tcMar>
              <w:top w:type="dxa" w:w="50"/>
              <w:left w:type="dxa" w:w="80"/>
              <w:bottom w:type="dxa" w:w="50"/>
              <w:right w:type="dxa" w:w="80"/>
            </w:tcMar>
            <w:vAlign w:val="center"/>
          </w:tcPr>
          <w:p>
            <w:r>
              <w:rPr>
                <w:b/>
                <w:bCs/>
                <w:sz w:val="16"/>
                <w:szCs w:val="16"/>
              </w:rPr>
              <w:t xml:space="preserve">IP publique actuelle</w:t>
            </w:r>
          </w:p>
        </w:tc>
        <w:tc>
          <w:tcPr>
            <w:tcW w:type="dxa" w:w="58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[IP publique anonymisée] (renumérotation côté nouvel opérateur)</w:t>
            </w:r>
          </w:p>
        </w:tc>
      </w:tr>
    </w:tbl>
    <w:p>
      <w:pPr>
        <w:pStyle w:val="Heading2"/>
        <w:spacing w:after="120"/>
      </w:pPr>
      <w:r>
        <w:t xml:space="preserve">10.2 Équipements critiques (continuité métier)</w:t>
      </w:r>
    </w:p>
    <w:p>
      <w:pPr>
        <w:spacing w:after="80"/>
      </w:pPr>
      <w:r>
        <w:t xml:space="preserve">Équipements d’infrastructure détectés au scan dont la continuité doit être assurée pendant la bascule (aucun changement d’IP attendu)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600"/>
        <w:gridCol w:w="5160"/>
      </w:tblGrid>
      <w:tr>
        <w:trPr>
          <w:cantSplit w:val="false"/>
          <w:tblHeader/>
        </w:trPr>
        <w:tc>
          <w:tcPr>
            <w:tcW w:type="dxa" w:w="1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IP</w:t>
            </w:r>
          </w:p>
        </w:tc>
        <w:tc>
          <w:tcPr>
            <w:tcW w:type="dxa" w:w="260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Type</w:t>
            </w:r>
          </w:p>
        </w:tc>
        <w:tc>
          <w:tcPr>
            <w:tcW w:type="dxa" w:w="5160"/>
            <w:tcBorders>
              <w:top w:val="single" w:color="CCCCCC" w:sz="4"/>
              <w:left w:val="single" w:color="CCCCCC" w:sz="4"/>
              <w:bottom w:val="single" w:color="CCCCCC" w:sz="4"/>
              <w:right w:val="single" w:color="CCCCCC" w:sz="4"/>
            </w:tcBorders>
            <w:shd w:fill="1F4E79" w:val="clear"/>
            <w:tcMar>
              <w:top w:type="dxa" w:w="50"/>
              <w:left w:type="dxa" w:w="80"/>
              <w:bottom w:type="dxa" w:w="50"/>
              <w:right w:type="dxa" w:w="80"/>
            </w:tcMar>
            <w:vAlign w:val="center"/>
          </w:tcPr>
          <w:p>
            <w:r>
              <w:rPr>
                <w:b/>
                <w:bCs/>
                <w:color w:val="FFFFFF"/>
                <w:sz w:val="16"/>
                <w:szCs w:val="16"/>
              </w:rPr>
              <w:t xml:space="preserve">Constructeur / hostname</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10.77.30.254</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Équipement réseau</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18</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10.77.30.22</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11</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10.77.30.23</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Point d’accès WiFi</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10.77.30.24</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28</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10.77.30.25</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10.77.30.26</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Équipement réseau</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10</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10.77.30.28</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24</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10.77.30.31</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Équipement réseau</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06</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32</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10.77.30.38</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10.77.30.39</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10.77.30.40</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10.77.30.41</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10.77.30.44</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Téléphone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32</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10.77.30.46</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22</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10.77.30.47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14</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10.77.30.52</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Imprimante</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10.77.30.53</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10.77.30.55</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10.77.30.56</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Non identifié</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13</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10.77.30.58</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10.77.30.59</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10.77.30.60</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10.77.30.61</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Imprimante</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07</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10.77.30.62</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10.77.30.63</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10.77.30.64</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10.77.30.65</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10.77.30.66</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10.77.30.68</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10.77.30.69</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10.77.30.70</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10.77.30.71</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10.77.30.72</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10.77.30.73</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Caméra IP</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35</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10.77.30.74</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09</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10.77.30.75</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Serveur</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29</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10.77.30.76</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NAS / stockage</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23</w:t>
            </w:r>
          </w:p>
        </w:tc>
      </w:tr>
      <w:tr>
        <w:trPr>
          <w:cantSplit/>
          <w:tblHeader w:val="false"/>
        </w:trPr>
        <w:tc>
          <w:tcPr>
            <w:tcW w:type="dxa" w:w="1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b/>
                <w:bCs/>
                <w:sz w:val="16"/>
                <w:szCs w:val="16"/>
              </w:rPr>
              <w:t>10.77.30.77</w:t>
            </w:r>
          </w:p>
        </w:tc>
        <w:tc>
          <w:tcPr>
            <w:tcW w:type="dxa" w:w="260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 xml:space="preserve">Hôte non identifié</w:t>
            </w:r>
          </w:p>
        </w:tc>
        <w:tc>
          <w:tcPr>
            <w:tcW w:type="dxa" w:w="5160"/>
            <w:tcBorders>
              <w:top w:val="single" w:color="CCCCCC" w:sz="4"/>
              <w:left w:val="single" w:color="CCCCCC" w:sz="4"/>
              <w:bottom w:val="single" w:color="CCCCCC" w:sz="4"/>
              <w:right w:val="single" w:color="CCCCCC" w:sz="4"/>
            </w:tcBorders>
            <w:tcMar>
              <w:top w:type="dxa" w:w="50"/>
              <w:left w:type="dxa" w:w="80"/>
              <w:bottom w:type="dxa" w:w="50"/>
              <w:right w:type="dxa" w:w="80"/>
            </w:tcMar>
            <w:vAlign w:val="center"/>
          </w:tcPr>
          <w:p>
            <w:r>
              <w:rPr>
                <w:sz w:val="16"/>
                <w:szCs w:val="16"/>
              </w:rPr>
              <w:t>Constructeur 15</w:t>
            </w:r>
          </w:p>
        </w:tc>
      </w:tr>
    </w:tbl>
    <w:p>
      <w:pPr>
        <w:pStyle w:val="Heading2"/>
        <w:spacing w:after="120"/>
      </w:pPr>
      <w:r>
        <w:t xml:space="preserve">10.3 Éléments à récupérer avant bascule (accès management)</w:t>
      </w:r>
    </w:p>
    <w:p>
      <w:pPr>
        <w:pStyle w:val="ListParagraph"/>
        <w:numPr>
          <w:ilvl w:val="0"/>
          <w:numId w:val="2"/>
        </w:numPr>
        <w:spacing w:after="40"/>
      </w:pPr>
      <w:r>
        <w:t xml:space="preserve">Identifiants et configuration des équipements actifs (passerelle/routeur, switches managés) : export complet, mode bridge/NAT, routes statiques.</w:t>
      </w:r>
    </w:p>
    <w:p>
      <w:pPr>
        <w:pStyle w:val="ListParagraph"/>
        <w:numPr>
          <w:ilvl w:val="0"/>
          <w:numId w:val="2"/>
        </w:numPr>
        <w:spacing w:after="40"/>
      </w:pPr>
      <w:r>
        <w:t xml:space="preserve">Table DHCP (plage dynamique + réservations statiques) et règles NAT/firewall éventuelles.</w:t>
      </w:r>
    </w:p>
    <w:p>
      <w:pPr>
        <w:pStyle w:val="ListParagraph"/>
        <w:numPr>
          <w:ilvl w:val="0"/>
          <w:numId w:val="2"/>
        </w:numPr>
        <w:spacing w:after="40"/>
      </w:pPr>
      <w:r>
        <w:t xml:space="preserve">Documents opérateur : NDI / contrat actuel, préavis, portabilité SIP si téléphonie opérée.</w:t>
      </w:r>
    </w:p>
    <w:p>
      <w:pPr>
        <w:spacing w:after="80"/>
      </w:pPr>
      <w:r>
        <w:rPr>
          <w:color w:val="595959"/>
        </w:rPr>
        <w:t xml:space="preserve">Le principe de bascule (iso-fonctionnel : conservation du plan d’adressage, remplacement du seul équipement opérateur) et la procédure détaillée (pré-requis, tests, plan de retour arrière) sont à rédiger par l’intégrateur une fois la topologie confirmée.</w:t>
      </w:r>
    </w:p>
    <w:p>
      <w:r>
        <w:br w:type="page"/>
      </w:r>
    </w:p>
    <w:p>
      <w:pPr>
        <w:pStyle w:val="Heading1"/>
        <w:spacing w:after="160"/>
      </w:pPr>
      <w:r>
        <w:t xml:space="preserve">11. Photographies complémentaires</w:t>
      </w:r>
    </w:p>
    <w:p>
      <w:pPr>
        <w:spacing w:after="80"/>
      </w:pPr>
      <w:r>
        <w:t xml:space="preserve">11 photographies complémentaires (vues batiment, prises PTO, racks, etc.) non associées a un équipement individuel.</w:t>
      </w:r>
    </w:p>
    <w:p>
      <w:pPr>
        <w:pStyle w:val="Heading3"/>
        <w:spacing w:after="100"/>
      </w:pPr>
      <w:r>
        <w:t xml:space="preserve">Prise PTO</w:t>
      </w:r>
    </w:p>
    <w:p>
      <w:pPr>
        <w:spacing w:after="80" w:before="80"/>
        <w:jc w:val="center"/>
      </w:pPr>
      <w:r>
        <w:t>[Visuel du site retiré]</w:t>
      </w:r>
    </w:p>
    <w:p>
      <w:pPr>
        <w:pStyle w:val="Heading3"/>
        <w:spacing w:after="100"/>
      </w:pPr>
      <w:r>
        <w:t>Raccordement optique du site anonymisé</w:t>
      </w:r>
    </w:p>
    <w:p>
      <w:pPr>
        <w:spacing w:after="80" w:before="80"/>
        <w:jc w:val="center"/>
      </w:pPr>
      <w:r>
        <w:t>[Visuel du site retiré]</w:t>
      </w:r>
    </w:p>
    <w:p>
      <w:pPr>
        <w:pStyle w:val="Heading3"/>
        <w:spacing w:after="100"/>
      </w:pPr>
      <w:r>
        <w:t>Raccordement optique du site anonymisé</w:t>
      </w:r>
    </w:p>
    <w:p>
      <w:pPr>
        <w:spacing w:after="80" w:before="80"/>
        <w:jc w:val="center"/>
      </w:pPr>
      <w:r>
        <w:t>[Visuel du site retiré]</w:t>
      </w:r>
    </w:p>
    <w:p>
      <w:pPr>
        <w:pStyle w:val="Heading3"/>
        <w:spacing w:after="100"/>
      </w:pPr>
      <w:r>
        <w:t xml:space="preserve">Façade du bâtiment</w:t>
      </w:r>
    </w:p>
    <w:p>
      <w:pPr>
        <w:spacing w:after="80" w:before="80"/>
        <w:jc w:val="center"/>
      </w:pPr>
      <w:r>
        <w:t>[Visuel du site retiré]</w:t>
      </w:r>
    </w:p>
    <w:p>
      <w:pPr>
        <w:pStyle w:val="Heading3"/>
        <w:spacing w:after="100"/>
      </w:pPr>
      <w:r>
        <w:t xml:space="preserve">batiment</w:t>
      </w:r>
    </w:p>
    <w:p>
      <w:pPr>
        <w:spacing w:after="80" w:before="80"/>
        <w:jc w:val="center"/>
      </w:pPr>
      <w:r>
        <w:t>[Visuel du site retiré]</w:t>
      </w:r>
    </w:p>
    <w:p>
      <w:pPr>
        <w:pStyle w:val="Heading3"/>
        <w:spacing w:after="100"/>
      </w:pPr>
      <w:r>
        <w:t xml:space="preserve">PC - Vue équipement</w:t>
      </w:r>
    </w:p>
    <w:p>
      <w:pPr>
        <w:spacing w:after="80" w:before="80"/>
        <w:jc w:val="center"/>
      </w:pPr>
      <w:r>
        <w:t>[Visuel du site retiré]</w:t>
      </w:r>
    </w:p>
    <w:p>
      <w:pPr>
        <w:pStyle w:val="Heading3"/>
        <w:spacing w:after="100"/>
      </w:pPr>
      <w:r>
        <w:t xml:space="preserve">PC - Numéro de série</w:t>
      </w:r>
    </w:p>
    <w:p>
      <w:pPr>
        <w:spacing w:after="80" w:before="80"/>
        <w:jc w:val="center"/>
      </w:pPr>
      <w:r>
        <w:t>[Visuel du site retiré]</w:t>
      </w:r>
    </w:p>
    <w:p>
      <w:pPr>
        <w:pStyle w:val="Heading3"/>
        <w:spacing w:after="100"/>
      </w:pPr>
      <w:r>
        <w:t xml:space="preserve">Imprimante - Vue équipement</w:t>
      </w:r>
    </w:p>
    <w:p>
      <w:pPr>
        <w:spacing w:after="80" w:before="80"/>
        <w:jc w:val="center"/>
      </w:pPr>
      <w:r>
        <w:t>[Visuel du site retiré]</w:t>
      </w:r>
    </w:p>
    <w:p>
      <w:pPr>
        <w:pStyle w:val="Heading3"/>
        <w:spacing w:after="100"/>
      </w:pPr>
      <w:r>
        <w:t xml:space="preserve">Imprimante - Numéro de série</w:t>
      </w:r>
    </w:p>
    <w:p>
      <w:pPr>
        <w:spacing w:after="80" w:before="80"/>
        <w:jc w:val="center"/>
      </w:pPr>
      <w:r>
        <w:t>[Visuel du site retiré]</w:t>
      </w:r>
    </w:p>
    <w:p>
      <w:pPr>
        <w:pStyle w:val="Heading3"/>
        <w:spacing w:after="100"/>
      </w:pPr>
      <w:r>
        <w:t xml:space="preserve">Autre - Vue équipement</w:t>
      </w:r>
    </w:p>
    <w:p>
      <w:pPr>
        <w:spacing w:after="80" w:before="80"/>
        <w:jc w:val="center"/>
      </w:pPr>
      <w:r>
        <w:t>[Visuel du site retiré]</w:t>
      </w:r>
    </w:p>
    <w:p>
      <w:pPr>
        <w:pStyle w:val="Heading3"/>
        <w:spacing w:after="100"/>
      </w:pPr>
      <w:r>
        <w:t xml:space="preserve">Autre - Numéro de série</w:t>
      </w:r>
    </w:p>
    <w:p>
      <w:pPr>
        <w:spacing w:after="80" w:before="80"/>
        <w:jc w:val="center"/>
      </w:pPr>
      <w:r>
        <w:t>[Visuel du site retiré]</w:t>
      </w:r>
    </w:p>
    <w:p>
      <w:r>
        <w:br w:type="page"/>
      </w:r>
    </w:p>
    <w:p>
      <w:pPr>
        <w:pStyle w:val="Heading1"/>
        <w:spacing w:after="160"/>
      </w:pPr>
      <w:r>
        <w:t xml:space="preserve">12. Confidentialité</w:t>
      </w:r>
    </w:p>
    <w:p>
      <w:pPr>
        <w:spacing w:after="80"/>
      </w:pPr>
      <w:r>
        <w:t xml:space="preserve">Ce rapport contient des informations techniques sensibles (architecture réseau, IP, services exposés). Il doit être transmis au client par un canal sécurisé.</w:t>
      </w:r>
    </w:p>
    <w:sectPr>
      <w:headerReference w:type="default" r:id="rId7"/>
      <w:footerReference w:type="default" r:id="rId8"/>
      <w:headerReference w:type="first" r:id="rId6"/>
      <w:footerReference w:type="first" r:id="rId9"/>
      <w:headerReference w:type="even" r:id="rId10"/>
      <w:footerReference w:type="even" r:id="rId11"/>
      <w:pgSz w:w="11906" w:h="16838" w:orient="portrait"/>
      <w:pgMar w:top="1080" w:right="1080" w:bottom="1080" w:left="108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6"/>
      </w:rPr>
      <w:t>Sentiaudit - exemple anonymisé</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95959"/>
        <w:sz w:val="16"/>
        <w:szCs w:val="16"/>
      </w:rPr>
      <w:t>Sentiaudit ENTREPRISE EXEMPLE - REF-EXEMPLE-001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color w:val="000000"/>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8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00"/>
      <w:outlineLvl w:val="1"/>
    </w:pPr>
    <w:rPr>
      <w:rFonts w:ascii="Arial" w:cs="Arial" w:eastAsia="Arial" w:hAnsi="Arial"/>
      <w:b/>
      <w:bCs/>
      <w:color w:val="1F4E79"/>
      <w:sz w:val="26"/>
      <w:szCs w:val="26"/>
    </w:rPr>
  </w:style>
  <w:style w:type="paragraph" w:styleId="Heading3">
    <w:name w:val="Heading 3"/>
    <w:basedOn w:val="Normal"/>
    <w:next w:val="Normal"/>
    <w:qFormat/>
    <w:pPr>
      <w:spacing w:after="80" w:before="160"/>
      <w:outlineLvl w:val="2"/>
    </w:pPr>
    <w:rPr>
      <w:rFonts w:ascii="Arial" w:cs="Arial" w:eastAsia="Arial" w:hAnsi="Arial"/>
      <w:b/>
      <w:bCs/>
      <w:color w:val="595959"/>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48" Type="http://schemas.openxmlformats.org/officeDocument/2006/relationships/image" Target="media/8118970a828107c2e70e4b468cce12f0683bb7f6.png"/><Relationship Id="rId49" Type="http://schemas.openxmlformats.org/officeDocument/2006/relationships/image" Target="media/689097b8dace337f5aa2bb599ea9c9f5d27515f8.png"/><Relationship Id="rId61" Type="http://schemas.openxmlformats.org/officeDocument/2006/relationships/fontTable" Target="fontTable.xml"/><Relationship Id="rId6"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Sentiaudit rapport LAN WAN anonymisé</dc:title>
  <dc:creator/>
  <cp:lastModifiedBy/>
  <dc:subject/>
  <dc:description/>
  <cp:keywords/>
  <cp:category/>
  <dc:identifier/>
</cp:coreProperties>
</file>